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5AAD1" w14:textId="77777777" w:rsidR="00254B26" w:rsidRDefault="00254B26"/>
    <w:p w14:paraId="2929786A" w14:textId="77777777" w:rsidR="00A27BCE" w:rsidRDefault="00A27BCE" w:rsidP="00874D2B">
      <w:pPr>
        <w:spacing w:before="240" w:after="240"/>
        <w:jc w:val="center"/>
        <w:rPr>
          <w:b/>
          <w:bCs/>
          <w:sz w:val="22"/>
          <w:szCs w:val="22"/>
        </w:rPr>
      </w:pPr>
      <w:r w:rsidRPr="00A27BCE">
        <w:rPr>
          <w:b/>
          <w:bCs/>
          <w:sz w:val="22"/>
          <w:szCs w:val="22"/>
        </w:rPr>
        <w:t>Sélection d'un bureau d'études pour la restructuration du Service d'Audit Informatique (SASI) de la Direction d'Audit Interne (DAINT) de la Banque de la République d'Haïti (BRH)</w:t>
      </w:r>
    </w:p>
    <w:p w14:paraId="4466F09D" w14:textId="18845E7C" w:rsidR="004A6B5B" w:rsidRPr="004A6B5B" w:rsidRDefault="00E2704F" w:rsidP="00874D2B">
      <w:pPr>
        <w:spacing w:before="240" w:after="240"/>
        <w:jc w:val="center"/>
        <w:rPr>
          <w:b/>
          <w:bCs/>
        </w:rPr>
      </w:pPr>
      <w:r>
        <w:rPr>
          <w:b/>
          <w:bCs/>
        </w:rPr>
        <w:t>DECOMPOSITION DU</w:t>
      </w:r>
      <w:r w:rsidR="004A6B5B" w:rsidRPr="004A6B5B">
        <w:rPr>
          <w:b/>
          <w:bCs/>
        </w:rPr>
        <w:t xml:space="preserve"> PRIX</w:t>
      </w:r>
      <w:r>
        <w:rPr>
          <w:b/>
          <w:bCs/>
        </w:rPr>
        <w:t xml:space="preserve"> GLOBAL ET FORFAITAIRE</w:t>
      </w:r>
      <w:r w:rsidR="004746D9">
        <w:rPr>
          <w:b/>
          <w:bCs/>
        </w:rPr>
        <w:t xml:space="preserve"> (D.P.G.F.)</w:t>
      </w:r>
      <w:r w:rsidR="004A6B5B" w:rsidRPr="004A6B5B">
        <w:rPr>
          <w:b/>
          <w:bCs/>
        </w:rPr>
        <w:t xml:space="preserve"> </w:t>
      </w:r>
    </w:p>
    <w:p w14:paraId="3C2984F6" w14:textId="77777777" w:rsidR="004A6B5B" w:rsidRDefault="004A6B5B"/>
    <w:p w14:paraId="1FDEA79D" w14:textId="77777777" w:rsidR="004A6B5B" w:rsidRPr="00644BD4" w:rsidRDefault="008E7343" w:rsidP="004A6B5B">
      <w:pPr>
        <w:pStyle w:val="v"/>
        <w:widowControl w:val="0"/>
        <w:tabs>
          <w:tab w:val="left" w:pos="6315"/>
        </w:tabs>
        <w:spacing w:before="120" w:after="240"/>
        <w:ind w:left="556"/>
        <w:rPr>
          <w:rFonts w:asciiTheme="minorHAnsi" w:hAnsiTheme="minorHAnsi" w:cs="Arial"/>
          <w:sz w:val="24"/>
          <w:szCs w:val="24"/>
        </w:rPr>
      </w:pPr>
      <w:r w:rsidRPr="00644BD4">
        <w:rPr>
          <w:rFonts w:asciiTheme="minorHAnsi" w:hAnsiTheme="minorHAnsi" w:cs="Arial"/>
          <w:sz w:val="24"/>
          <w:szCs w:val="24"/>
        </w:rPr>
        <w:t>Le prix proposé se décompose comme suit</w:t>
      </w:r>
      <w:r w:rsidR="004A6B5B" w:rsidRPr="00644BD4">
        <w:rPr>
          <w:rFonts w:asciiTheme="minorHAnsi" w:hAnsiTheme="minorHAnsi" w:cs="Arial"/>
          <w:sz w:val="24"/>
          <w:szCs w:val="24"/>
        </w:rPr>
        <w:t> :</w:t>
      </w:r>
      <w:r w:rsidR="004A6B5B" w:rsidRPr="00644BD4">
        <w:rPr>
          <w:rFonts w:asciiTheme="minorHAnsi" w:hAnsiTheme="minorHAnsi" w:cs="Arial"/>
          <w:sz w:val="24"/>
          <w:szCs w:val="24"/>
        </w:rPr>
        <w:tab/>
      </w:r>
    </w:p>
    <w:tbl>
      <w:tblPr>
        <w:tblStyle w:val="Grilledutableau"/>
        <w:tblW w:w="4960" w:type="pct"/>
        <w:tblLook w:val="04A0" w:firstRow="1" w:lastRow="0" w:firstColumn="1" w:lastColumn="0" w:noHBand="0" w:noVBand="1"/>
      </w:tblPr>
      <w:tblGrid>
        <w:gridCol w:w="1554"/>
        <w:gridCol w:w="6808"/>
        <w:gridCol w:w="1841"/>
        <w:gridCol w:w="1841"/>
        <w:gridCol w:w="1838"/>
      </w:tblGrid>
      <w:tr w:rsidR="00C20C4E" w:rsidRPr="002951E2" w14:paraId="2414D590" w14:textId="235B621B" w:rsidTr="00684B04">
        <w:trPr>
          <w:trHeight w:val="711"/>
        </w:trPr>
        <w:tc>
          <w:tcPr>
            <w:tcW w:w="3012" w:type="pct"/>
            <w:gridSpan w:val="2"/>
            <w:shd w:val="clear" w:color="auto" w:fill="E7E6E6" w:themeFill="background2"/>
            <w:vAlign w:val="center"/>
          </w:tcPr>
          <w:p w14:paraId="3BD0E822" w14:textId="77777777" w:rsidR="00C20C4E" w:rsidRPr="002951E2" w:rsidRDefault="00C20C4E" w:rsidP="00271E5F">
            <w:pPr>
              <w:pStyle w:val="v"/>
              <w:widowControl w:val="0"/>
              <w:spacing w:before="60" w:after="60"/>
              <w:ind w:left="0" w:firstLine="0"/>
              <w:jc w:val="center"/>
              <w:rPr>
                <w:rFonts w:asciiTheme="minorHAnsi" w:hAnsiTheme="minorHAnsi" w:cstheme="minorHAnsi"/>
                <w:b/>
                <w:smallCaps/>
                <w:szCs w:val="22"/>
              </w:rPr>
            </w:pPr>
            <w:r w:rsidRPr="002951E2">
              <w:rPr>
                <w:rFonts w:asciiTheme="minorHAnsi" w:hAnsiTheme="minorHAnsi" w:cstheme="minorHAnsi"/>
                <w:b/>
                <w:smallCaps/>
                <w:szCs w:val="22"/>
              </w:rPr>
              <w:t>Prestations</w:t>
            </w:r>
          </w:p>
        </w:tc>
        <w:tc>
          <w:tcPr>
            <w:tcW w:w="663" w:type="pct"/>
            <w:shd w:val="clear" w:color="auto" w:fill="E7E6E6" w:themeFill="background2"/>
          </w:tcPr>
          <w:p w14:paraId="067AC7A0" w14:textId="77777777" w:rsidR="00C20C4E" w:rsidRPr="002951E2" w:rsidRDefault="00C20C4E" w:rsidP="002951E2">
            <w:pPr>
              <w:pStyle w:val="v"/>
              <w:widowControl w:val="0"/>
              <w:spacing w:before="60" w:after="60"/>
              <w:ind w:left="0" w:firstLine="0"/>
              <w:jc w:val="center"/>
              <w:rPr>
                <w:rFonts w:asciiTheme="minorHAnsi" w:hAnsiTheme="minorHAnsi" w:cstheme="minorHAnsi"/>
                <w:b/>
                <w:smallCaps/>
                <w:szCs w:val="22"/>
              </w:rPr>
            </w:pPr>
            <w:r w:rsidRPr="002951E2">
              <w:rPr>
                <w:rFonts w:asciiTheme="minorHAnsi" w:hAnsiTheme="minorHAnsi" w:cstheme="minorHAnsi"/>
                <w:b/>
                <w:smallCaps/>
                <w:szCs w:val="22"/>
              </w:rPr>
              <w:t>Prix H.T.</w:t>
            </w:r>
          </w:p>
          <w:p w14:paraId="58663FBC" w14:textId="5DC49A42" w:rsidR="00C20C4E" w:rsidRPr="002951E2" w:rsidRDefault="00C20C4E" w:rsidP="002951E2">
            <w:pPr>
              <w:pStyle w:val="v"/>
              <w:widowControl w:val="0"/>
              <w:spacing w:before="60" w:after="60"/>
              <w:ind w:left="0" w:firstLine="0"/>
              <w:jc w:val="center"/>
              <w:rPr>
                <w:rFonts w:asciiTheme="minorHAnsi" w:hAnsiTheme="minorHAnsi" w:cstheme="minorHAnsi"/>
                <w:b/>
                <w:smallCaps/>
                <w:szCs w:val="22"/>
              </w:rPr>
            </w:pPr>
          </w:p>
        </w:tc>
        <w:tc>
          <w:tcPr>
            <w:tcW w:w="663" w:type="pct"/>
            <w:shd w:val="clear" w:color="auto" w:fill="E7E6E6" w:themeFill="background2"/>
          </w:tcPr>
          <w:p w14:paraId="3181956E" w14:textId="77777777" w:rsidR="00C20C4E" w:rsidRPr="002951E2" w:rsidRDefault="00C20C4E" w:rsidP="002951E2">
            <w:pPr>
              <w:pStyle w:val="v"/>
              <w:widowControl w:val="0"/>
              <w:spacing w:before="60" w:after="60"/>
              <w:ind w:left="0" w:firstLine="0"/>
              <w:jc w:val="center"/>
              <w:rPr>
                <w:rFonts w:asciiTheme="minorHAnsi" w:hAnsiTheme="minorHAnsi" w:cstheme="minorHAnsi"/>
                <w:b/>
                <w:smallCaps/>
                <w:szCs w:val="22"/>
              </w:rPr>
            </w:pPr>
            <w:r w:rsidRPr="002951E2">
              <w:rPr>
                <w:rFonts w:asciiTheme="minorHAnsi" w:hAnsiTheme="minorHAnsi" w:cstheme="minorHAnsi"/>
                <w:b/>
                <w:smallCaps/>
                <w:szCs w:val="22"/>
              </w:rPr>
              <w:t>Quantité</w:t>
            </w:r>
          </w:p>
          <w:p w14:paraId="646DA754" w14:textId="5A5ECE3C" w:rsidR="00C20C4E" w:rsidRPr="002951E2" w:rsidRDefault="00C20C4E" w:rsidP="002951E2">
            <w:pPr>
              <w:pStyle w:val="v"/>
              <w:widowControl w:val="0"/>
              <w:spacing w:before="60" w:after="60"/>
              <w:ind w:left="0" w:firstLine="0"/>
              <w:jc w:val="center"/>
              <w:rPr>
                <w:rFonts w:asciiTheme="minorHAnsi" w:hAnsiTheme="minorHAnsi" w:cstheme="minorHAnsi"/>
                <w:b/>
                <w:smallCaps/>
                <w:szCs w:val="22"/>
              </w:rPr>
            </w:pPr>
          </w:p>
        </w:tc>
        <w:tc>
          <w:tcPr>
            <w:tcW w:w="662" w:type="pct"/>
            <w:shd w:val="clear" w:color="auto" w:fill="E7E6E6" w:themeFill="background2"/>
          </w:tcPr>
          <w:p w14:paraId="6C35E18F" w14:textId="77777777" w:rsidR="00C20C4E" w:rsidRPr="002951E2" w:rsidRDefault="00C20C4E" w:rsidP="002951E2">
            <w:pPr>
              <w:pStyle w:val="v"/>
              <w:widowControl w:val="0"/>
              <w:spacing w:before="60" w:after="60"/>
              <w:ind w:left="0" w:firstLine="0"/>
              <w:jc w:val="center"/>
              <w:rPr>
                <w:rFonts w:asciiTheme="minorHAnsi" w:hAnsiTheme="minorHAnsi" w:cstheme="minorHAnsi"/>
                <w:b/>
                <w:smallCaps/>
                <w:szCs w:val="22"/>
              </w:rPr>
            </w:pPr>
            <w:r w:rsidRPr="002951E2">
              <w:rPr>
                <w:rFonts w:asciiTheme="minorHAnsi" w:hAnsiTheme="minorHAnsi" w:cstheme="minorHAnsi"/>
                <w:b/>
                <w:smallCaps/>
                <w:szCs w:val="22"/>
              </w:rPr>
              <w:t>prix total</w:t>
            </w:r>
          </w:p>
          <w:p w14:paraId="03CF70AA" w14:textId="021AC218" w:rsidR="00C20C4E" w:rsidRPr="002951E2" w:rsidRDefault="00C20C4E" w:rsidP="002951E2">
            <w:pPr>
              <w:pStyle w:val="v"/>
              <w:widowControl w:val="0"/>
              <w:spacing w:before="60" w:after="60"/>
              <w:ind w:left="0" w:firstLine="0"/>
              <w:jc w:val="center"/>
              <w:rPr>
                <w:rFonts w:asciiTheme="minorHAnsi" w:hAnsiTheme="minorHAnsi" w:cstheme="minorHAnsi"/>
                <w:b/>
                <w:smallCaps/>
                <w:szCs w:val="22"/>
              </w:rPr>
            </w:pPr>
          </w:p>
        </w:tc>
      </w:tr>
      <w:tr w:rsidR="00644BD4" w:rsidRPr="002951E2" w14:paraId="06C67799" w14:textId="4821EED7" w:rsidTr="00684B04">
        <w:trPr>
          <w:trHeight w:val="385"/>
        </w:trPr>
        <w:tc>
          <w:tcPr>
            <w:tcW w:w="560" w:type="pct"/>
            <w:vAlign w:val="center"/>
          </w:tcPr>
          <w:p w14:paraId="4E51C928" w14:textId="76B44C79" w:rsidR="00644BD4" w:rsidRPr="002951E2" w:rsidRDefault="00644BD4" w:rsidP="00644BD4">
            <w:pPr>
              <w:widowControl w:val="0"/>
              <w:pBdr>
                <w:top w:val="nil"/>
                <w:left w:val="nil"/>
                <w:bottom w:val="nil"/>
                <w:right w:val="nil"/>
                <w:between w:val="nil"/>
              </w:pBdr>
              <w:spacing w:before="60" w:after="60" w:line="240" w:lineRule="auto"/>
              <w:rPr>
                <w:rFonts w:asciiTheme="minorHAnsi" w:eastAsia="Calibri" w:hAnsiTheme="minorHAnsi" w:cstheme="minorHAnsi"/>
                <w:bCs/>
                <w:color w:val="000000"/>
                <w:sz w:val="22"/>
                <w:szCs w:val="22"/>
              </w:rPr>
            </w:pPr>
            <w:r w:rsidRPr="002951E2">
              <w:rPr>
                <w:rFonts w:asciiTheme="minorHAnsi" w:eastAsia="Calibri" w:hAnsiTheme="minorHAnsi" w:cstheme="minorHAnsi"/>
                <w:bCs/>
                <w:color w:val="000000"/>
                <w:sz w:val="22"/>
                <w:szCs w:val="22"/>
              </w:rPr>
              <w:t>Livrable 1</w:t>
            </w:r>
          </w:p>
        </w:tc>
        <w:tc>
          <w:tcPr>
            <w:tcW w:w="2452" w:type="pct"/>
            <w:vAlign w:val="center"/>
          </w:tcPr>
          <w:p w14:paraId="329EE730" w14:textId="1F038B63" w:rsidR="00644BD4" w:rsidRPr="002951E2" w:rsidRDefault="002951E2" w:rsidP="00644BD4">
            <w:pPr>
              <w:widowControl w:val="0"/>
              <w:pBdr>
                <w:top w:val="nil"/>
                <w:left w:val="nil"/>
                <w:bottom w:val="nil"/>
                <w:right w:val="nil"/>
                <w:between w:val="nil"/>
              </w:pBdr>
              <w:spacing w:before="60" w:after="60" w:line="240" w:lineRule="auto"/>
              <w:rPr>
                <w:rFonts w:asciiTheme="minorHAnsi" w:eastAsia="Calibri" w:hAnsiTheme="minorHAnsi" w:cstheme="minorHAnsi"/>
                <w:bCs/>
                <w:color w:val="000000"/>
                <w:sz w:val="22"/>
                <w:szCs w:val="22"/>
              </w:rPr>
            </w:pPr>
            <w:r w:rsidRPr="00271E5F">
              <w:rPr>
                <w:rFonts w:asciiTheme="minorHAnsi" w:hAnsiTheme="minorHAnsi" w:cstheme="minorHAnsi"/>
                <w:bCs/>
                <w:sz w:val="22"/>
                <w:szCs w:val="22"/>
              </w:rPr>
              <w:t xml:space="preserve">Rapport d’évaluation détaillé de la structure existante et la proposition d’une nouvelle structure organisationnelle pour la fonction d'audit informatique, </w:t>
            </w:r>
            <w:r w:rsidRPr="00271E5F">
              <w:rPr>
                <w:rStyle w:val="lev"/>
                <w:rFonts w:asciiTheme="minorHAnsi" w:eastAsiaTheme="majorEastAsia" w:hAnsiTheme="minorHAnsi" w:cstheme="minorHAnsi"/>
                <w:b w:val="0"/>
                <w:sz w:val="22"/>
                <w:szCs w:val="22"/>
              </w:rPr>
              <w:t>incluant l’évaluation de maturité du SASI, l’analyse des contrôles généraux informatiques (ITGC), la cyber résilience et la continuité d’activité</w:t>
            </w:r>
            <w:r w:rsidRPr="00271E5F">
              <w:rPr>
                <w:rFonts w:asciiTheme="minorHAnsi" w:hAnsiTheme="minorHAnsi" w:cstheme="minorHAnsi"/>
                <w:bCs/>
                <w:sz w:val="22"/>
                <w:szCs w:val="22"/>
              </w:rPr>
              <w:t>, ainsi que l’évaluation des systèmes financiers critiques et infrastructures de paiement.</w:t>
            </w:r>
          </w:p>
        </w:tc>
        <w:tc>
          <w:tcPr>
            <w:tcW w:w="663" w:type="pct"/>
            <w:vAlign w:val="center"/>
          </w:tcPr>
          <w:p w14:paraId="1517E63F"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c>
          <w:tcPr>
            <w:tcW w:w="663" w:type="pct"/>
          </w:tcPr>
          <w:p w14:paraId="22D99288"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c>
          <w:tcPr>
            <w:tcW w:w="662" w:type="pct"/>
          </w:tcPr>
          <w:p w14:paraId="58D49A13"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r>
      <w:tr w:rsidR="00644BD4" w:rsidRPr="002951E2" w14:paraId="487B3A18" w14:textId="6F27C149" w:rsidTr="00684B04">
        <w:trPr>
          <w:trHeight w:val="375"/>
        </w:trPr>
        <w:tc>
          <w:tcPr>
            <w:tcW w:w="560" w:type="pct"/>
            <w:vAlign w:val="center"/>
          </w:tcPr>
          <w:p w14:paraId="65CC5304" w14:textId="26575A35" w:rsidR="00644BD4" w:rsidRPr="002951E2" w:rsidRDefault="00644BD4" w:rsidP="00644BD4">
            <w:pPr>
              <w:widowControl w:val="0"/>
              <w:pBdr>
                <w:top w:val="nil"/>
                <w:left w:val="nil"/>
                <w:bottom w:val="nil"/>
                <w:right w:val="nil"/>
                <w:between w:val="nil"/>
              </w:pBdr>
              <w:spacing w:before="60" w:after="60" w:line="240" w:lineRule="auto"/>
              <w:rPr>
                <w:rFonts w:asciiTheme="minorHAnsi" w:eastAsia="Calibri" w:hAnsiTheme="minorHAnsi" w:cstheme="minorHAnsi"/>
                <w:bCs/>
                <w:color w:val="000000"/>
                <w:sz w:val="22"/>
                <w:szCs w:val="22"/>
              </w:rPr>
            </w:pPr>
            <w:r w:rsidRPr="002951E2">
              <w:rPr>
                <w:rFonts w:asciiTheme="minorHAnsi" w:eastAsia="Calibri" w:hAnsiTheme="minorHAnsi" w:cstheme="minorHAnsi"/>
                <w:bCs/>
                <w:color w:val="000000"/>
                <w:sz w:val="22"/>
                <w:szCs w:val="22"/>
              </w:rPr>
              <w:t>Livrable 2</w:t>
            </w:r>
          </w:p>
        </w:tc>
        <w:tc>
          <w:tcPr>
            <w:tcW w:w="2452" w:type="pct"/>
            <w:vAlign w:val="center"/>
          </w:tcPr>
          <w:p w14:paraId="6A999B57" w14:textId="1540EB19" w:rsidR="00644BD4" w:rsidRPr="002951E2" w:rsidRDefault="00A27BCE" w:rsidP="00644BD4">
            <w:pPr>
              <w:widowControl w:val="0"/>
              <w:pBdr>
                <w:top w:val="nil"/>
                <w:left w:val="nil"/>
                <w:bottom w:val="nil"/>
                <w:right w:val="nil"/>
                <w:between w:val="nil"/>
              </w:pBdr>
              <w:spacing w:before="60" w:after="60" w:line="240" w:lineRule="auto"/>
              <w:rPr>
                <w:rFonts w:asciiTheme="minorHAnsi" w:hAnsiTheme="minorHAnsi" w:cstheme="minorHAnsi"/>
                <w:bCs/>
                <w:sz w:val="22"/>
                <w:szCs w:val="22"/>
              </w:rPr>
            </w:pPr>
            <w:r>
              <w:rPr>
                <w:rFonts w:asciiTheme="minorHAnsi" w:hAnsiTheme="minorHAnsi" w:cstheme="minorHAnsi"/>
                <w:bCs/>
                <w:sz w:val="22"/>
                <w:szCs w:val="22"/>
              </w:rPr>
              <w:t>M</w:t>
            </w:r>
            <w:r w:rsidR="002951E2" w:rsidRPr="00271E5F">
              <w:rPr>
                <w:rFonts w:asciiTheme="minorHAnsi" w:hAnsiTheme="minorHAnsi" w:cstheme="minorHAnsi"/>
                <w:bCs/>
                <w:sz w:val="22"/>
                <w:szCs w:val="22"/>
              </w:rPr>
              <w:t>anuel de procédures pour la réalisation des missions d’audit aligné avec les normes internationales (IIA, COBIT, ISO, etc.), intégrant méthodologies, outils, bonnes pratiques et recommandations pour la conduite des audits assistés par la technologie.</w:t>
            </w:r>
          </w:p>
        </w:tc>
        <w:tc>
          <w:tcPr>
            <w:tcW w:w="663" w:type="pct"/>
            <w:vAlign w:val="center"/>
          </w:tcPr>
          <w:p w14:paraId="21E93F1C"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c>
          <w:tcPr>
            <w:tcW w:w="663" w:type="pct"/>
          </w:tcPr>
          <w:p w14:paraId="4ED08758"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c>
          <w:tcPr>
            <w:tcW w:w="662" w:type="pct"/>
          </w:tcPr>
          <w:p w14:paraId="632F0D6C"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r>
      <w:tr w:rsidR="00644BD4" w:rsidRPr="002951E2" w14:paraId="49DCE89A" w14:textId="1F22C479" w:rsidTr="00684B04">
        <w:trPr>
          <w:trHeight w:val="385"/>
        </w:trPr>
        <w:tc>
          <w:tcPr>
            <w:tcW w:w="560" w:type="pct"/>
            <w:vAlign w:val="center"/>
          </w:tcPr>
          <w:p w14:paraId="5125FCA4" w14:textId="4D8CAE3C" w:rsidR="00644BD4" w:rsidRPr="002951E2" w:rsidRDefault="00644BD4" w:rsidP="00644BD4">
            <w:pPr>
              <w:widowControl w:val="0"/>
              <w:pBdr>
                <w:top w:val="nil"/>
                <w:left w:val="nil"/>
                <w:bottom w:val="nil"/>
                <w:right w:val="nil"/>
                <w:between w:val="nil"/>
              </w:pBdr>
              <w:spacing w:before="60" w:after="60" w:line="240" w:lineRule="auto"/>
              <w:rPr>
                <w:rFonts w:asciiTheme="minorHAnsi" w:eastAsia="Calibri" w:hAnsiTheme="minorHAnsi" w:cstheme="minorHAnsi"/>
                <w:bCs/>
                <w:color w:val="000000"/>
                <w:sz w:val="22"/>
                <w:szCs w:val="22"/>
              </w:rPr>
            </w:pPr>
            <w:r w:rsidRPr="002951E2">
              <w:rPr>
                <w:rFonts w:asciiTheme="minorHAnsi" w:eastAsia="Calibri" w:hAnsiTheme="minorHAnsi" w:cstheme="minorHAnsi"/>
                <w:bCs/>
                <w:color w:val="000000"/>
                <w:sz w:val="22"/>
                <w:szCs w:val="22"/>
              </w:rPr>
              <w:t>Livrable 3</w:t>
            </w:r>
          </w:p>
        </w:tc>
        <w:tc>
          <w:tcPr>
            <w:tcW w:w="2452" w:type="pct"/>
            <w:vAlign w:val="center"/>
          </w:tcPr>
          <w:p w14:paraId="395A09FA" w14:textId="0D413C4E" w:rsidR="00644BD4" w:rsidRPr="002951E2" w:rsidRDefault="00A27BCE" w:rsidP="00644BD4">
            <w:pPr>
              <w:pBdr>
                <w:top w:val="nil"/>
                <w:left w:val="nil"/>
                <w:bottom w:val="nil"/>
                <w:right w:val="nil"/>
                <w:between w:val="nil"/>
              </w:pBdr>
              <w:rPr>
                <w:rFonts w:asciiTheme="minorHAnsi" w:hAnsiTheme="minorHAnsi" w:cstheme="minorHAnsi"/>
                <w:bCs/>
                <w:sz w:val="22"/>
                <w:szCs w:val="22"/>
              </w:rPr>
            </w:pPr>
            <w:r>
              <w:rPr>
                <w:rFonts w:asciiTheme="minorHAnsi" w:hAnsiTheme="minorHAnsi" w:cstheme="minorHAnsi"/>
                <w:bCs/>
                <w:sz w:val="22"/>
                <w:szCs w:val="22"/>
              </w:rPr>
              <w:t>C</w:t>
            </w:r>
            <w:r w:rsidR="002951E2" w:rsidRPr="00271E5F">
              <w:rPr>
                <w:rFonts w:asciiTheme="minorHAnsi" w:hAnsiTheme="minorHAnsi" w:cstheme="minorHAnsi"/>
                <w:bCs/>
                <w:sz w:val="22"/>
                <w:szCs w:val="22"/>
              </w:rPr>
              <w:t xml:space="preserve">artographie complète des risques informatiques de la </w:t>
            </w:r>
            <w:r w:rsidR="002951E2" w:rsidRPr="002951E2">
              <w:rPr>
                <w:rFonts w:asciiTheme="minorHAnsi" w:hAnsiTheme="minorHAnsi" w:cstheme="minorHAnsi"/>
                <w:bCs/>
                <w:sz w:val="22"/>
                <w:szCs w:val="22"/>
              </w:rPr>
              <w:t>banque, intégrant</w:t>
            </w:r>
            <w:r w:rsidR="002951E2" w:rsidRPr="00271E5F">
              <w:rPr>
                <w:rFonts w:asciiTheme="minorHAnsi" w:hAnsiTheme="minorHAnsi" w:cstheme="minorHAnsi"/>
                <w:bCs/>
                <w:sz w:val="22"/>
                <w:szCs w:val="22"/>
              </w:rPr>
              <w:t xml:space="preserve"> les risques liés aux technologies émergentes (IA, automatisation), la gouvernance des données et les risques de sécurité, </w:t>
            </w:r>
            <w:r w:rsidR="002951E2" w:rsidRPr="00271E5F">
              <w:rPr>
                <w:rStyle w:val="lev"/>
                <w:rFonts w:asciiTheme="minorHAnsi" w:eastAsiaTheme="majorEastAsia" w:hAnsiTheme="minorHAnsi" w:cstheme="minorHAnsi"/>
                <w:b w:val="0"/>
                <w:sz w:val="22"/>
                <w:szCs w:val="22"/>
              </w:rPr>
              <w:t>accompagnée du plan d’audit sur trois (3) ans au moins correspondant et des priorités de traitement</w:t>
            </w:r>
            <w:r w:rsidR="002951E2" w:rsidRPr="00271E5F">
              <w:rPr>
                <w:rFonts w:asciiTheme="minorHAnsi" w:hAnsiTheme="minorHAnsi" w:cstheme="minorHAnsi"/>
                <w:bCs/>
                <w:sz w:val="22"/>
                <w:szCs w:val="22"/>
              </w:rPr>
              <w:t>.</w:t>
            </w:r>
          </w:p>
        </w:tc>
        <w:tc>
          <w:tcPr>
            <w:tcW w:w="663" w:type="pct"/>
            <w:vAlign w:val="center"/>
          </w:tcPr>
          <w:p w14:paraId="4E3D92F6"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c>
          <w:tcPr>
            <w:tcW w:w="663" w:type="pct"/>
          </w:tcPr>
          <w:p w14:paraId="61CBDECE"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c>
          <w:tcPr>
            <w:tcW w:w="662" w:type="pct"/>
          </w:tcPr>
          <w:p w14:paraId="13D82070"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r>
      <w:tr w:rsidR="00644BD4" w:rsidRPr="002951E2" w14:paraId="0C428548" w14:textId="6561314B" w:rsidTr="00684B04">
        <w:trPr>
          <w:trHeight w:val="592"/>
        </w:trPr>
        <w:tc>
          <w:tcPr>
            <w:tcW w:w="560" w:type="pct"/>
            <w:vAlign w:val="center"/>
          </w:tcPr>
          <w:p w14:paraId="7BCBB9DF" w14:textId="44BFF1ED" w:rsidR="00644BD4" w:rsidRPr="002951E2" w:rsidRDefault="00644BD4" w:rsidP="00644BD4">
            <w:pPr>
              <w:widowControl w:val="0"/>
              <w:pBdr>
                <w:top w:val="nil"/>
                <w:left w:val="nil"/>
                <w:bottom w:val="nil"/>
                <w:right w:val="nil"/>
                <w:between w:val="nil"/>
              </w:pBdr>
              <w:spacing w:before="60" w:after="60" w:line="240" w:lineRule="auto"/>
              <w:rPr>
                <w:rFonts w:asciiTheme="minorHAnsi" w:eastAsia="Calibri" w:hAnsiTheme="minorHAnsi" w:cstheme="minorHAnsi"/>
                <w:bCs/>
                <w:color w:val="000000"/>
                <w:sz w:val="22"/>
                <w:szCs w:val="22"/>
              </w:rPr>
            </w:pPr>
            <w:r w:rsidRPr="002951E2">
              <w:rPr>
                <w:rFonts w:asciiTheme="minorHAnsi" w:eastAsia="Calibri" w:hAnsiTheme="minorHAnsi" w:cstheme="minorHAnsi"/>
                <w:bCs/>
                <w:color w:val="000000"/>
                <w:sz w:val="22"/>
                <w:szCs w:val="22"/>
              </w:rPr>
              <w:lastRenderedPageBreak/>
              <w:t>Livrable 4</w:t>
            </w:r>
          </w:p>
        </w:tc>
        <w:tc>
          <w:tcPr>
            <w:tcW w:w="2452" w:type="pct"/>
            <w:vAlign w:val="center"/>
          </w:tcPr>
          <w:p w14:paraId="51A68769" w14:textId="5FB02EB5" w:rsidR="00644BD4" w:rsidRPr="002951E2" w:rsidRDefault="002951E2" w:rsidP="00644BD4">
            <w:pPr>
              <w:pBdr>
                <w:top w:val="nil"/>
                <w:left w:val="nil"/>
                <w:bottom w:val="nil"/>
                <w:right w:val="nil"/>
                <w:between w:val="nil"/>
              </w:pBdr>
              <w:rPr>
                <w:rFonts w:asciiTheme="minorHAnsi" w:hAnsiTheme="minorHAnsi" w:cstheme="minorHAnsi"/>
                <w:bCs/>
                <w:sz w:val="22"/>
                <w:szCs w:val="22"/>
              </w:rPr>
            </w:pPr>
            <w:r w:rsidRPr="00271E5F">
              <w:rPr>
                <w:rFonts w:asciiTheme="minorHAnsi" w:hAnsiTheme="minorHAnsi" w:cstheme="minorHAnsi"/>
                <w:bCs/>
                <w:sz w:val="22"/>
                <w:szCs w:val="22"/>
              </w:rPr>
              <w:t xml:space="preserve"> Plan de formation et sessions de coaching pour le personnel du SASI, </w:t>
            </w:r>
            <w:r w:rsidRPr="00271E5F">
              <w:rPr>
                <w:rStyle w:val="lev"/>
                <w:rFonts w:asciiTheme="minorHAnsi" w:eastAsiaTheme="majorEastAsia" w:hAnsiTheme="minorHAnsi" w:cstheme="minorHAnsi"/>
                <w:b w:val="0"/>
                <w:sz w:val="22"/>
                <w:szCs w:val="22"/>
              </w:rPr>
              <w:t>couvrant cybersécurité, intelligence artificielle, audit assisté par la technologie, bonnes pratiques internationales et certifications pertinentes (CISA, CISSP, ISO 27001, etc.)</w:t>
            </w:r>
          </w:p>
        </w:tc>
        <w:tc>
          <w:tcPr>
            <w:tcW w:w="663" w:type="pct"/>
            <w:vAlign w:val="center"/>
          </w:tcPr>
          <w:p w14:paraId="7CA5BA75"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c>
          <w:tcPr>
            <w:tcW w:w="663" w:type="pct"/>
          </w:tcPr>
          <w:p w14:paraId="693557A4"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c>
          <w:tcPr>
            <w:tcW w:w="662" w:type="pct"/>
          </w:tcPr>
          <w:p w14:paraId="5CACE475" w14:textId="77777777" w:rsidR="00644BD4" w:rsidRPr="002951E2" w:rsidRDefault="00644BD4"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r>
      <w:tr w:rsidR="002951E2" w:rsidRPr="002951E2" w14:paraId="1F9CB1D0" w14:textId="77777777" w:rsidTr="00684B04">
        <w:trPr>
          <w:trHeight w:val="592"/>
        </w:trPr>
        <w:tc>
          <w:tcPr>
            <w:tcW w:w="560" w:type="pct"/>
            <w:vAlign w:val="center"/>
          </w:tcPr>
          <w:p w14:paraId="4E5A8D69" w14:textId="1C605823" w:rsidR="002951E2" w:rsidRPr="002951E2" w:rsidRDefault="00271E5F" w:rsidP="00644BD4">
            <w:pPr>
              <w:widowControl w:val="0"/>
              <w:pBdr>
                <w:top w:val="nil"/>
                <w:left w:val="nil"/>
                <w:bottom w:val="nil"/>
                <w:right w:val="nil"/>
                <w:between w:val="nil"/>
              </w:pBdr>
              <w:spacing w:before="60" w:after="60" w:line="240" w:lineRule="auto"/>
              <w:rPr>
                <w:rFonts w:asciiTheme="minorHAnsi" w:eastAsia="Calibri" w:hAnsiTheme="minorHAnsi" w:cstheme="minorHAnsi"/>
                <w:bCs/>
                <w:color w:val="000000"/>
                <w:sz w:val="22"/>
                <w:szCs w:val="22"/>
              </w:rPr>
            </w:pPr>
            <w:r>
              <w:rPr>
                <w:rFonts w:asciiTheme="minorHAnsi" w:eastAsia="Calibri" w:hAnsiTheme="minorHAnsi" w:cstheme="minorHAnsi"/>
                <w:bCs/>
                <w:color w:val="000000"/>
                <w:sz w:val="22"/>
                <w:szCs w:val="22"/>
              </w:rPr>
              <w:t>Livrable 5</w:t>
            </w:r>
          </w:p>
        </w:tc>
        <w:tc>
          <w:tcPr>
            <w:tcW w:w="2452" w:type="pct"/>
            <w:vAlign w:val="center"/>
          </w:tcPr>
          <w:p w14:paraId="02EFE0AC" w14:textId="72AB79C6" w:rsidR="002951E2" w:rsidRPr="00271E5F" w:rsidDel="002951E2" w:rsidRDefault="002951E2" w:rsidP="00644BD4">
            <w:pPr>
              <w:pBdr>
                <w:top w:val="nil"/>
                <w:left w:val="nil"/>
                <w:bottom w:val="nil"/>
                <w:right w:val="nil"/>
                <w:between w:val="nil"/>
              </w:pBdr>
              <w:rPr>
                <w:rFonts w:asciiTheme="minorHAnsi" w:hAnsiTheme="minorHAnsi" w:cstheme="minorHAnsi"/>
                <w:bCs/>
                <w:sz w:val="22"/>
                <w:szCs w:val="22"/>
              </w:rPr>
            </w:pPr>
            <w:r w:rsidRPr="00271E5F">
              <w:rPr>
                <w:rFonts w:asciiTheme="minorHAnsi" w:hAnsiTheme="minorHAnsi" w:cstheme="minorHAnsi"/>
                <w:bCs/>
                <w:sz w:val="22"/>
                <w:szCs w:val="22"/>
              </w:rPr>
              <w:t xml:space="preserve">Feuille de route opérationnelle pour la mise en œuvre des recommandations, </w:t>
            </w:r>
            <w:r w:rsidRPr="00271E5F">
              <w:rPr>
                <w:rStyle w:val="lev"/>
                <w:rFonts w:asciiTheme="minorHAnsi" w:eastAsiaTheme="majorEastAsia" w:hAnsiTheme="minorHAnsi" w:cstheme="minorHAnsi"/>
                <w:b w:val="0"/>
                <w:sz w:val="22"/>
                <w:szCs w:val="22"/>
              </w:rPr>
              <w:t>détaillant la priorisation des actions, les ressources nécessaires, le calendrier prévisionnel et les indicateurs de performance</w:t>
            </w:r>
          </w:p>
        </w:tc>
        <w:tc>
          <w:tcPr>
            <w:tcW w:w="663" w:type="pct"/>
            <w:vAlign w:val="center"/>
          </w:tcPr>
          <w:p w14:paraId="478ACCB3" w14:textId="77777777" w:rsidR="002951E2" w:rsidRPr="002951E2" w:rsidRDefault="002951E2"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c>
          <w:tcPr>
            <w:tcW w:w="663" w:type="pct"/>
          </w:tcPr>
          <w:p w14:paraId="32DBBAEF" w14:textId="77777777" w:rsidR="002951E2" w:rsidRPr="002951E2" w:rsidRDefault="002951E2"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c>
          <w:tcPr>
            <w:tcW w:w="662" w:type="pct"/>
          </w:tcPr>
          <w:p w14:paraId="329F2D61" w14:textId="77777777" w:rsidR="002951E2" w:rsidRPr="002951E2" w:rsidRDefault="002951E2" w:rsidP="00644BD4">
            <w:pPr>
              <w:widowControl w:val="0"/>
              <w:pBdr>
                <w:top w:val="nil"/>
                <w:left w:val="nil"/>
                <w:bottom w:val="nil"/>
                <w:right w:val="nil"/>
                <w:between w:val="nil"/>
              </w:pBdr>
              <w:spacing w:before="60" w:after="60" w:line="240" w:lineRule="auto"/>
              <w:jc w:val="center"/>
              <w:rPr>
                <w:rFonts w:asciiTheme="minorHAnsi" w:eastAsia="Calibri" w:hAnsiTheme="minorHAnsi" w:cstheme="minorHAnsi"/>
                <w:bCs/>
                <w:color w:val="000000"/>
                <w:sz w:val="22"/>
                <w:szCs w:val="22"/>
              </w:rPr>
            </w:pPr>
          </w:p>
        </w:tc>
      </w:tr>
      <w:tr w:rsidR="00C20C4E" w:rsidRPr="002951E2" w14:paraId="28628C39" w14:textId="675E0CC4" w:rsidTr="00684B04">
        <w:trPr>
          <w:trHeight w:val="385"/>
        </w:trPr>
        <w:tc>
          <w:tcPr>
            <w:tcW w:w="3012" w:type="pct"/>
            <w:gridSpan w:val="2"/>
            <w:shd w:val="clear" w:color="auto" w:fill="E7E6E6" w:themeFill="background2"/>
            <w:vAlign w:val="center"/>
          </w:tcPr>
          <w:p w14:paraId="2FAFED9F" w14:textId="2585DEFA" w:rsidR="00C20C4E" w:rsidRPr="00271E5F" w:rsidRDefault="00C20C4E" w:rsidP="008A4617">
            <w:pPr>
              <w:pStyle w:val="v"/>
              <w:widowControl w:val="0"/>
              <w:spacing w:before="60" w:after="60"/>
              <w:ind w:left="0" w:firstLine="0"/>
              <w:rPr>
                <w:rFonts w:asciiTheme="minorHAnsi" w:hAnsiTheme="minorHAnsi" w:cstheme="minorHAnsi"/>
                <w:bCs/>
                <w:smallCaps/>
                <w:szCs w:val="22"/>
              </w:rPr>
            </w:pPr>
            <w:r w:rsidRPr="00271E5F">
              <w:rPr>
                <w:rFonts w:asciiTheme="minorHAnsi" w:hAnsiTheme="minorHAnsi" w:cstheme="minorHAnsi"/>
                <w:bCs/>
                <w:smallCaps/>
                <w:szCs w:val="22"/>
              </w:rPr>
              <w:t xml:space="preserve">MONTANT TOTAL </w:t>
            </w:r>
            <w:r w:rsidR="00EE5B00" w:rsidRPr="00271E5F">
              <w:rPr>
                <w:rFonts w:asciiTheme="minorHAnsi" w:hAnsiTheme="minorHAnsi" w:cstheme="minorHAnsi"/>
                <w:bCs/>
                <w:smallCaps/>
                <w:szCs w:val="22"/>
              </w:rPr>
              <w:t>USD HT</w:t>
            </w:r>
          </w:p>
        </w:tc>
        <w:tc>
          <w:tcPr>
            <w:tcW w:w="663" w:type="pct"/>
            <w:shd w:val="clear" w:color="auto" w:fill="E7E6E6" w:themeFill="background2"/>
          </w:tcPr>
          <w:p w14:paraId="0B3BCC60" w14:textId="77777777" w:rsidR="00C20C4E" w:rsidRPr="00271E5F" w:rsidRDefault="00C20C4E" w:rsidP="008A4617">
            <w:pPr>
              <w:pStyle w:val="v"/>
              <w:widowControl w:val="0"/>
              <w:spacing w:before="60" w:after="60"/>
              <w:ind w:left="0" w:firstLine="0"/>
              <w:jc w:val="center"/>
              <w:rPr>
                <w:rFonts w:asciiTheme="minorHAnsi" w:hAnsiTheme="minorHAnsi" w:cstheme="minorHAnsi"/>
                <w:bCs/>
                <w:smallCaps/>
                <w:szCs w:val="22"/>
              </w:rPr>
            </w:pPr>
          </w:p>
        </w:tc>
        <w:tc>
          <w:tcPr>
            <w:tcW w:w="663" w:type="pct"/>
            <w:shd w:val="clear" w:color="auto" w:fill="E7E6E6" w:themeFill="background2"/>
          </w:tcPr>
          <w:p w14:paraId="76D7FECC" w14:textId="77777777" w:rsidR="00C20C4E" w:rsidRPr="00271E5F" w:rsidRDefault="00C20C4E" w:rsidP="008A4617">
            <w:pPr>
              <w:pStyle w:val="v"/>
              <w:widowControl w:val="0"/>
              <w:spacing w:before="60" w:after="60"/>
              <w:ind w:left="0" w:firstLine="0"/>
              <w:jc w:val="center"/>
              <w:rPr>
                <w:rFonts w:asciiTheme="minorHAnsi" w:hAnsiTheme="minorHAnsi" w:cstheme="minorHAnsi"/>
                <w:bCs/>
                <w:smallCaps/>
                <w:szCs w:val="22"/>
              </w:rPr>
            </w:pPr>
          </w:p>
        </w:tc>
        <w:tc>
          <w:tcPr>
            <w:tcW w:w="662" w:type="pct"/>
            <w:shd w:val="clear" w:color="auto" w:fill="E7E6E6" w:themeFill="background2"/>
          </w:tcPr>
          <w:p w14:paraId="1E1CA06F" w14:textId="77777777" w:rsidR="00C20C4E" w:rsidRPr="00271E5F" w:rsidRDefault="00C20C4E" w:rsidP="008A4617">
            <w:pPr>
              <w:pStyle w:val="v"/>
              <w:widowControl w:val="0"/>
              <w:spacing w:before="60" w:after="60"/>
              <w:ind w:left="0" w:firstLine="0"/>
              <w:jc w:val="center"/>
              <w:rPr>
                <w:rFonts w:asciiTheme="minorHAnsi" w:hAnsiTheme="minorHAnsi" w:cstheme="minorHAnsi"/>
                <w:bCs/>
                <w:smallCaps/>
                <w:szCs w:val="22"/>
              </w:rPr>
            </w:pPr>
          </w:p>
        </w:tc>
      </w:tr>
    </w:tbl>
    <w:p w14:paraId="67AA2FD6" w14:textId="77777777" w:rsidR="00367BEF" w:rsidRDefault="00367BEF">
      <w:pPr>
        <w:spacing w:after="160" w:line="259" w:lineRule="auto"/>
        <w:rPr>
          <w:b/>
          <w:bCs/>
        </w:rPr>
      </w:pPr>
    </w:p>
    <w:sectPr w:rsidR="00367BEF" w:rsidSect="00AF3921">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7F1BE" w14:textId="77777777" w:rsidR="00D22D13" w:rsidRDefault="00D22D13" w:rsidP="004A6B5B">
      <w:pPr>
        <w:spacing w:line="240" w:lineRule="auto"/>
      </w:pPr>
      <w:r>
        <w:separator/>
      </w:r>
    </w:p>
  </w:endnote>
  <w:endnote w:type="continuationSeparator" w:id="0">
    <w:p w14:paraId="394DE047" w14:textId="77777777" w:rsidR="00D22D13" w:rsidRDefault="00D22D13" w:rsidP="004A6B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Segoe UI Symbol"/>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9472C" w14:textId="77777777" w:rsidR="00D22D13" w:rsidRDefault="00D22D13" w:rsidP="004A6B5B">
      <w:pPr>
        <w:spacing w:line="240" w:lineRule="auto"/>
      </w:pPr>
      <w:r>
        <w:separator/>
      </w:r>
    </w:p>
  </w:footnote>
  <w:footnote w:type="continuationSeparator" w:id="0">
    <w:p w14:paraId="61FC10F2" w14:textId="77777777" w:rsidR="00D22D13" w:rsidRDefault="00D22D13" w:rsidP="004A6B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C335E" w14:textId="77777777" w:rsidR="004A6B5B" w:rsidRDefault="004A6B5B">
    <w:pPr>
      <w:pStyle w:val="En-tte"/>
    </w:pPr>
    <w:r>
      <w:rPr>
        <w:b/>
        <w:bCs/>
        <w:noProof/>
      </w:rPr>
      <w:drawing>
        <wp:inline distT="0" distB="0" distL="0" distR="0" wp14:anchorId="200D471F" wp14:editId="386E41EF">
          <wp:extent cx="1733550" cy="88751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xpertise France - Fond transparen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40440" cy="89104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E176F"/>
    <w:multiLevelType w:val="multilevel"/>
    <w:tmpl w:val="80E673D8"/>
    <w:lvl w:ilvl="0">
      <w:start w:val="1"/>
      <w:numFmt w:val="bullet"/>
      <w:pStyle w:val="TM3"/>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CAF1D0F"/>
    <w:multiLevelType w:val="multilevel"/>
    <w:tmpl w:val="1E9813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60388F"/>
    <w:multiLevelType w:val="hybridMultilevel"/>
    <w:tmpl w:val="C2860720"/>
    <w:lvl w:ilvl="0" w:tplc="EF88D374">
      <w:start w:val="1"/>
      <w:numFmt w:val="decimal"/>
      <w:lvlText w:val="(%1-"/>
      <w:lvlJc w:val="left"/>
      <w:pPr>
        <w:ind w:left="1070" w:hanging="71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F99122A"/>
    <w:multiLevelType w:val="multilevel"/>
    <w:tmpl w:val="2BFE3D74"/>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7F95924"/>
    <w:multiLevelType w:val="hybridMultilevel"/>
    <w:tmpl w:val="E9BC5A8C"/>
    <w:lvl w:ilvl="0" w:tplc="1ED42416">
      <w:start w:val="1"/>
      <w:numFmt w:val="decimal"/>
      <w:lvlText w:val="%1."/>
      <w:lvlJc w:val="left"/>
      <w:pPr>
        <w:ind w:left="148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1" w:tplc="AD6ED650">
      <w:start w:val="1"/>
      <w:numFmt w:val="lowerLetter"/>
      <w:lvlText w:val="%2."/>
      <w:lvlJc w:val="left"/>
      <w:pPr>
        <w:ind w:left="2148"/>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2" w:tplc="6D98DB80">
      <w:start w:val="1"/>
      <w:numFmt w:val="lowerRoman"/>
      <w:lvlText w:val="%3."/>
      <w:lvlJc w:val="left"/>
      <w:pPr>
        <w:ind w:left="2924"/>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3" w:tplc="4A40D3CC">
      <w:start w:val="1"/>
      <w:numFmt w:val="decimal"/>
      <w:lvlText w:val="%4"/>
      <w:lvlJc w:val="left"/>
      <w:pPr>
        <w:ind w:left="365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4" w:tplc="B498C3CE">
      <w:start w:val="1"/>
      <w:numFmt w:val="lowerLetter"/>
      <w:lvlText w:val="%5"/>
      <w:lvlJc w:val="left"/>
      <w:pPr>
        <w:ind w:left="437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5" w:tplc="5BC886A0">
      <w:start w:val="1"/>
      <w:numFmt w:val="lowerRoman"/>
      <w:lvlText w:val="%6"/>
      <w:lvlJc w:val="left"/>
      <w:pPr>
        <w:ind w:left="509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6" w:tplc="2AEAD812">
      <w:start w:val="1"/>
      <w:numFmt w:val="decimal"/>
      <w:lvlText w:val="%7"/>
      <w:lvlJc w:val="left"/>
      <w:pPr>
        <w:ind w:left="581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7" w:tplc="DABAB958">
      <w:start w:val="1"/>
      <w:numFmt w:val="lowerLetter"/>
      <w:lvlText w:val="%8"/>
      <w:lvlJc w:val="left"/>
      <w:pPr>
        <w:ind w:left="653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8" w:tplc="D896751C">
      <w:start w:val="1"/>
      <w:numFmt w:val="lowerRoman"/>
      <w:lvlText w:val="%9"/>
      <w:lvlJc w:val="left"/>
      <w:pPr>
        <w:ind w:left="725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abstractNum>
  <w:num w:numId="1" w16cid:durableId="1521972736">
    <w:abstractNumId w:val="3"/>
  </w:num>
  <w:num w:numId="2" w16cid:durableId="891959326">
    <w:abstractNumId w:val="4"/>
  </w:num>
  <w:num w:numId="3" w16cid:durableId="1918130803">
    <w:abstractNumId w:val="0"/>
  </w:num>
  <w:num w:numId="4" w16cid:durableId="872032712">
    <w:abstractNumId w:val="1"/>
  </w:num>
  <w:num w:numId="5" w16cid:durableId="780226629">
    <w:abstractNumId w:val="2"/>
  </w:num>
  <w:num w:numId="6" w16cid:durableId="2391004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B5B"/>
    <w:rsid w:val="000739EF"/>
    <w:rsid w:val="000F22EE"/>
    <w:rsid w:val="00103CC8"/>
    <w:rsid w:val="00194049"/>
    <w:rsid w:val="00194133"/>
    <w:rsid w:val="001A3A2F"/>
    <w:rsid w:val="001D3C0D"/>
    <w:rsid w:val="001F0D17"/>
    <w:rsid w:val="00254065"/>
    <w:rsid w:val="00254B26"/>
    <w:rsid w:val="00264539"/>
    <w:rsid w:val="00271E5F"/>
    <w:rsid w:val="002766AA"/>
    <w:rsid w:val="002829A6"/>
    <w:rsid w:val="002951E2"/>
    <w:rsid w:val="0031317A"/>
    <w:rsid w:val="00324149"/>
    <w:rsid w:val="00367BEF"/>
    <w:rsid w:val="003E2E4C"/>
    <w:rsid w:val="004366BB"/>
    <w:rsid w:val="00450A7D"/>
    <w:rsid w:val="004746D9"/>
    <w:rsid w:val="00481081"/>
    <w:rsid w:val="004859FE"/>
    <w:rsid w:val="004A0C9B"/>
    <w:rsid w:val="004A6B5B"/>
    <w:rsid w:val="004B29C7"/>
    <w:rsid w:val="00506DC6"/>
    <w:rsid w:val="00540B60"/>
    <w:rsid w:val="005664DC"/>
    <w:rsid w:val="00580787"/>
    <w:rsid w:val="00590B67"/>
    <w:rsid w:val="00601618"/>
    <w:rsid w:val="00603014"/>
    <w:rsid w:val="00623269"/>
    <w:rsid w:val="00644BD4"/>
    <w:rsid w:val="006478CB"/>
    <w:rsid w:val="00684B04"/>
    <w:rsid w:val="006B67AB"/>
    <w:rsid w:val="00734803"/>
    <w:rsid w:val="007551A8"/>
    <w:rsid w:val="007B33A5"/>
    <w:rsid w:val="00806CAA"/>
    <w:rsid w:val="00844CB2"/>
    <w:rsid w:val="00851743"/>
    <w:rsid w:val="00874D2B"/>
    <w:rsid w:val="008A31B2"/>
    <w:rsid w:val="008A4617"/>
    <w:rsid w:val="008E7343"/>
    <w:rsid w:val="00954BE6"/>
    <w:rsid w:val="00993AF8"/>
    <w:rsid w:val="009E506C"/>
    <w:rsid w:val="009F27D9"/>
    <w:rsid w:val="00A253C7"/>
    <w:rsid w:val="00A27BCE"/>
    <w:rsid w:val="00A92152"/>
    <w:rsid w:val="00AB779C"/>
    <w:rsid w:val="00AF3921"/>
    <w:rsid w:val="00B107B7"/>
    <w:rsid w:val="00B34053"/>
    <w:rsid w:val="00B43E0F"/>
    <w:rsid w:val="00B754C2"/>
    <w:rsid w:val="00BB62CE"/>
    <w:rsid w:val="00BC04E8"/>
    <w:rsid w:val="00BD280E"/>
    <w:rsid w:val="00BF1CD3"/>
    <w:rsid w:val="00C20C4E"/>
    <w:rsid w:val="00C24B2A"/>
    <w:rsid w:val="00C63236"/>
    <w:rsid w:val="00C70FFE"/>
    <w:rsid w:val="00C92F9A"/>
    <w:rsid w:val="00D22D13"/>
    <w:rsid w:val="00D3724A"/>
    <w:rsid w:val="00D55F40"/>
    <w:rsid w:val="00D8471F"/>
    <w:rsid w:val="00DC692B"/>
    <w:rsid w:val="00DC7124"/>
    <w:rsid w:val="00DF1546"/>
    <w:rsid w:val="00DF61B1"/>
    <w:rsid w:val="00DF7B66"/>
    <w:rsid w:val="00E05070"/>
    <w:rsid w:val="00E2704F"/>
    <w:rsid w:val="00E37046"/>
    <w:rsid w:val="00EB1BC1"/>
    <w:rsid w:val="00EB6320"/>
    <w:rsid w:val="00EC3023"/>
    <w:rsid w:val="00ED035B"/>
    <w:rsid w:val="00ED744E"/>
    <w:rsid w:val="00ED7685"/>
    <w:rsid w:val="00EE5B00"/>
    <w:rsid w:val="00F343EF"/>
    <w:rsid w:val="00F5131A"/>
    <w:rsid w:val="00F63ED3"/>
    <w:rsid w:val="00FD3943"/>
    <w:rsid w:val="00FF5996"/>
    <w:rsid w:val="00FF726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CD734"/>
  <w15:chartTrackingRefBased/>
  <w15:docId w15:val="{867D6DDB-2C73-435D-81F4-1850A02E7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B5B"/>
    <w:pPr>
      <w:spacing w:after="0" w:line="300" w:lineRule="atLeast"/>
    </w:pPr>
    <w:rPr>
      <w:rFonts w:ascii="Arial" w:eastAsia="Times" w:hAnsi="Arial"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v">
    <w:name w:val="v"/>
    <w:basedOn w:val="Normal"/>
    <w:rsid w:val="004A6B5B"/>
    <w:pPr>
      <w:overflowPunct w:val="0"/>
      <w:autoSpaceDE w:val="0"/>
      <w:autoSpaceDN w:val="0"/>
      <w:adjustRightInd w:val="0"/>
      <w:spacing w:line="240" w:lineRule="auto"/>
      <w:ind w:left="562" w:hanging="562"/>
      <w:jc w:val="both"/>
      <w:textAlignment w:val="baseline"/>
    </w:pPr>
    <w:rPr>
      <w:rFonts w:eastAsia="Times New Roman"/>
      <w:sz w:val="22"/>
    </w:rPr>
  </w:style>
  <w:style w:type="table" w:styleId="Grilledutableau">
    <w:name w:val="Table Grid"/>
    <w:basedOn w:val="TableauNormal"/>
    <w:uiPriority w:val="59"/>
    <w:rsid w:val="004A6B5B"/>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A6B5B"/>
    <w:pPr>
      <w:tabs>
        <w:tab w:val="center" w:pos="4536"/>
        <w:tab w:val="right" w:pos="9072"/>
      </w:tabs>
      <w:spacing w:line="240" w:lineRule="auto"/>
    </w:pPr>
  </w:style>
  <w:style w:type="character" w:customStyle="1" w:styleId="En-tteCar">
    <w:name w:val="En-tête Car"/>
    <w:basedOn w:val="Policepardfaut"/>
    <w:link w:val="En-tte"/>
    <w:uiPriority w:val="99"/>
    <w:rsid w:val="004A6B5B"/>
    <w:rPr>
      <w:rFonts w:ascii="Arial" w:eastAsia="Times" w:hAnsi="Arial" w:cs="Times New Roman"/>
      <w:sz w:val="20"/>
      <w:szCs w:val="20"/>
      <w:lang w:eastAsia="fr-FR"/>
    </w:rPr>
  </w:style>
  <w:style w:type="paragraph" w:styleId="Pieddepage">
    <w:name w:val="footer"/>
    <w:basedOn w:val="Normal"/>
    <w:link w:val="PieddepageCar"/>
    <w:uiPriority w:val="99"/>
    <w:unhideWhenUsed/>
    <w:rsid w:val="004A6B5B"/>
    <w:pPr>
      <w:tabs>
        <w:tab w:val="center" w:pos="4536"/>
        <w:tab w:val="right" w:pos="9072"/>
      </w:tabs>
      <w:spacing w:line="240" w:lineRule="auto"/>
    </w:pPr>
  </w:style>
  <w:style w:type="character" w:customStyle="1" w:styleId="PieddepageCar">
    <w:name w:val="Pied de page Car"/>
    <w:basedOn w:val="Policepardfaut"/>
    <w:link w:val="Pieddepage"/>
    <w:uiPriority w:val="99"/>
    <w:rsid w:val="004A6B5B"/>
    <w:rPr>
      <w:rFonts w:ascii="Arial" w:eastAsia="Times" w:hAnsi="Arial" w:cs="Times New Roman"/>
      <w:sz w:val="20"/>
      <w:szCs w:val="20"/>
      <w:lang w:eastAsia="fr-FR"/>
    </w:rPr>
  </w:style>
  <w:style w:type="paragraph" w:styleId="Textedebulles">
    <w:name w:val="Balloon Text"/>
    <w:basedOn w:val="Normal"/>
    <w:link w:val="TextedebullesCar"/>
    <w:uiPriority w:val="99"/>
    <w:semiHidden/>
    <w:unhideWhenUsed/>
    <w:rsid w:val="001A3A2F"/>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A3A2F"/>
    <w:rPr>
      <w:rFonts w:ascii="Segoe UI" w:eastAsia="Times" w:hAnsi="Segoe UI" w:cs="Segoe UI"/>
      <w:sz w:val="18"/>
      <w:szCs w:val="18"/>
      <w:lang w:eastAsia="fr-FR"/>
    </w:rPr>
  </w:style>
  <w:style w:type="paragraph" w:styleId="TM3">
    <w:name w:val="toc 3"/>
    <w:basedOn w:val="Normal"/>
    <w:next w:val="Normal"/>
    <w:autoRedefine/>
    <w:uiPriority w:val="39"/>
    <w:semiHidden/>
    <w:qFormat/>
    <w:rsid w:val="00E37046"/>
    <w:pPr>
      <w:numPr>
        <w:numId w:val="3"/>
      </w:numPr>
    </w:pPr>
    <w:rPr>
      <w:rFonts w:eastAsia="Arial" w:cs="Arial"/>
    </w:rPr>
  </w:style>
  <w:style w:type="paragraph" w:styleId="Paragraphedeliste">
    <w:name w:val="List Paragraph"/>
    <w:basedOn w:val="Normal"/>
    <w:uiPriority w:val="34"/>
    <w:qFormat/>
    <w:rsid w:val="00EC3023"/>
    <w:pPr>
      <w:ind w:left="720"/>
      <w:contextualSpacing/>
    </w:pPr>
  </w:style>
  <w:style w:type="character" w:styleId="Marquedecommentaire">
    <w:name w:val="annotation reference"/>
    <w:basedOn w:val="Policepardfaut"/>
    <w:uiPriority w:val="99"/>
    <w:semiHidden/>
    <w:unhideWhenUsed/>
    <w:rsid w:val="0031317A"/>
    <w:rPr>
      <w:sz w:val="16"/>
      <w:szCs w:val="16"/>
    </w:rPr>
  </w:style>
  <w:style w:type="paragraph" w:styleId="Commentaire">
    <w:name w:val="annotation text"/>
    <w:basedOn w:val="Normal"/>
    <w:link w:val="CommentaireCar"/>
    <w:uiPriority w:val="99"/>
    <w:unhideWhenUsed/>
    <w:rsid w:val="0031317A"/>
    <w:pPr>
      <w:spacing w:line="240" w:lineRule="auto"/>
    </w:pPr>
  </w:style>
  <w:style w:type="character" w:customStyle="1" w:styleId="CommentaireCar">
    <w:name w:val="Commentaire Car"/>
    <w:basedOn w:val="Policepardfaut"/>
    <w:link w:val="Commentaire"/>
    <w:uiPriority w:val="99"/>
    <w:rsid w:val="0031317A"/>
    <w:rPr>
      <w:rFonts w:ascii="Arial" w:eastAsia="Times"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1317A"/>
    <w:rPr>
      <w:b/>
      <w:bCs/>
    </w:rPr>
  </w:style>
  <w:style w:type="character" w:customStyle="1" w:styleId="ObjetducommentaireCar">
    <w:name w:val="Objet du commentaire Car"/>
    <w:basedOn w:val="CommentaireCar"/>
    <w:link w:val="Objetducommentaire"/>
    <w:uiPriority w:val="99"/>
    <w:semiHidden/>
    <w:rsid w:val="0031317A"/>
    <w:rPr>
      <w:rFonts w:ascii="Arial" w:eastAsia="Times" w:hAnsi="Arial" w:cs="Times New Roman"/>
      <w:b/>
      <w:bCs/>
      <w:sz w:val="20"/>
      <w:szCs w:val="20"/>
      <w:lang w:eastAsia="fr-FR"/>
    </w:rPr>
  </w:style>
  <w:style w:type="paragraph" w:styleId="Rvision">
    <w:name w:val="Revision"/>
    <w:hidden/>
    <w:uiPriority w:val="99"/>
    <w:semiHidden/>
    <w:rsid w:val="002951E2"/>
    <w:pPr>
      <w:spacing w:after="0" w:line="240" w:lineRule="auto"/>
    </w:pPr>
    <w:rPr>
      <w:rFonts w:ascii="Arial" w:eastAsia="Times" w:hAnsi="Arial" w:cs="Times New Roman"/>
      <w:sz w:val="20"/>
      <w:szCs w:val="20"/>
      <w:lang w:eastAsia="fr-FR"/>
    </w:rPr>
  </w:style>
  <w:style w:type="character" w:styleId="lev">
    <w:name w:val="Strong"/>
    <w:basedOn w:val="Policepardfaut"/>
    <w:uiPriority w:val="22"/>
    <w:qFormat/>
    <w:rsid w:val="002951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279</Words>
  <Characters>1539</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Expertise France</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JACQUEMARD</dc:creator>
  <cp:keywords/>
  <dc:description/>
  <cp:lastModifiedBy>chilove.celestin</cp:lastModifiedBy>
  <cp:revision>5</cp:revision>
  <dcterms:created xsi:type="dcterms:W3CDTF">2026-03-02T19:54:00Z</dcterms:created>
  <dcterms:modified xsi:type="dcterms:W3CDTF">2026-07-30T21:01:00Z</dcterms:modified>
</cp:coreProperties>
</file>